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E266" w14:textId="616E6FFB" w:rsidR="00E21CB7" w:rsidRPr="00C97D2E" w:rsidRDefault="00E21CB7" w:rsidP="00E21CB7">
      <w:pPr>
        <w:rPr>
          <w:rFonts w:ascii="Times New Roman" w:hAnsi="Times New Roman"/>
        </w:rPr>
      </w:pPr>
    </w:p>
    <w:p w14:paraId="4AD4D14E" w14:textId="2029C1B9" w:rsidR="006469F7" w:rsidRPr="006469F7" w:rsidRDefault="006469F7" w:rsidP="006469F7">
      <w:pPr>
        <w:jc w:val="center"/>
      </w:pPr>
      <w:r>
        <w:rPr>
          <w:noProof/>
        </w:rPr>
        <w:drawing>
          <wp:inline distT="0" distB="0" distL="0" distR="0" wp14:anchorId="27E36302" wp14:editId="5959F9E6">
            <wp:extent cx="1866900" cy="971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971550"/>
                    </a:xfrm>
                    <a:prstGeom prst="rect">
                      <a:avLst/>
                    </a:prstGeom>
                    <a:noFill/>
                    <a:ln>
                      <a:noFill/>
                    </a:ln>
                  </pic:spPr>
                </pic:pic>
              </a:graphicData>
            </a:graphic>
          </wp:inline>
        </w:drawing>
      </w:r>
    </w:p>
    <w:p w14:paraId="771616B9" w14:textId="681FA8FD" w:rsidR="008F2DF5" w:rsidRDefault="007B0F13" w:rsidP="006469F7">
      <w:pPr>
        <w:pStyle w:val="Heading6"/>
        <w:rPr>
          <w:rFonts w:asciiTheme="minorHAnsi" w:hAnsiTheme="minorHAnsi"/>
          <w:sz w:val="36"/>
          <w:szCs w:val="36"/>
        </w:rPr>
      </w:pPr>
      <w:r>
        <w:rPr>
          <w:rFonts w:asciiTheme="minorHAnsi" w:hAnsiTheme="minorHAnsi"/>
          <w:sz w:val="36"/>
          <w:szCs w:val="36"/>
        </w:rPr>
        <w:t>KYBELLA INJECTIONS - PRE &amp; POST TREATMENT INSTRUCTIONS</w:t>
      </w:r>
    </w:p>
    <w:p w14:paraId="21A2CDC6" w14:textId="77777777" w:rsidR="006469F7" w:rsidRPr="006469F7" w:rsidRDefault="006469F7" w:rsidP="006469F7"/>
    <w:p w14:paraId="2572A521" w14:textId="77777777" w:rsidR="007B0F13" w:rsidRPr="008F2DF5" w:rsidRDefault="007B0F13" w:rsidP="008F2DF5">
      <w:pPr>
        <w:tabs>
          <w:tab w:val="left" w:pos="720"/>
          <w:tab w:val="num" w:pos="1440"/>
        </w:tabs>
        <w:ind w:left="360" w:right="144"/>
        <w:jc w:val="both"/>
        <w:rPr>
          <w:rFonts w:asciiTheme="minorHAnsi" w:hAnsiTheme="minorHAnsi"/>
          <w:b/>
          <w:szCs w:val="24"/>
          <w:u w:val="single"/>
        </w:rPr>
      </w:pPr>
      <w:r w:rsidRPr="008F2DF5">
        <w:rPr>
          <w:rFonts w:asciiTheme="minorHAnsi" w:hAnsiTheme="minorHAnsi"/>
          <w:b/>
          <w:szCs w:val="24"/>
          <w:u w:val="single"/>
        </w:rPr>
        <w:t xml:space="preserve">Pre- Treatment Information: “How to Prepare” </w:t>
      </w:r>
    </w:p>
    <w:p w14:paraId="3A35A873" w14:textId="77777777" w:rsidR="007B0F13" w:rsidRPr="008F2DF5" w:rsidRDefault="007B0F13" w:rsidP="007B0F13">
      <w:pPr>
        <w:pStyle w:val="ListParagraph"/>
        <w:numPr>
          <w:ilvl w:val="0"/>
          <w:numId w:val="7"/>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Discontinue any anti-inflammatory drugs, NSAIDS (Acetaminophen, Naproxen Sodium, Ibuprofen, etc.), Aspirin or Aspirin containing products (Excedrin, BC/Goody powders), for 10 days prior to your treatment </w:t>
      </w:r>
    </w:p>
    <w:p w14:paraId="378C05DD" w14:textId="77777777" w:rsidR="007B0F13" w:rsidRPr="008F2DF5" w:rsidRDefault="007B0F13" w:rsidP="007B0F13">
      <w:pPr>
        <w:pStyle w:val="ListParagraph"/>
        <w:numPr>
          <w:ilvl w:val="0"/>
          <w:numId w:val="7"/>
        </w:numPr>
        <w:tabs>
          <w:tab w:val="left" w:pos="720"/>
          <w:tab w:val="num" w:pos="1440"/>
        </w:tabs>
        <w:ind w:right="144"/>
        <w:jc w:val="both"/>
        <w:rPr>
          <w:rFonts w:asciiTheme="minorHAnsi" w:hAnsiTheme="minorHAnsi"/>
          <w:szCs w:val="24"/>
        </w:rPr>
      </w:pPr>
      <w:r w:rsidRPr="008F2DF5">
        <w:rPr>
          <w:rFonts w:asciiTheme="minorHAnsi" w:hAnsiTheme="minorHAnsi"/>
          <w:szCs w:val="24"/>
        </w:rPr>
        <w:t>Discontinue St. John’s Wort, Vitamin E, Fish Oil and Garlic supplements for 3 days prior to treatment</w:t>
      </w:r>
    </w:p>
    <w:p w14:paraId="11C9D112" w14:textId="77777777" w:rsidR="007B0F13" w:rsidRPr="008F2DF5" w:rsidRDefault="007B0F13" w:rsidP="007B0F13">
      <w:pPr>
        <w:pStyle w:val="ListParagraph"/>
        <w:numPr>
          <w:ilvl w:val="0"/>
          <w:numId w:val="7"/>
        </w:numPr>
        <w:tabs>
          <w:tab w:val="left" w:pos="720"/>
          <w:tab w:val="num" w:pos="1440"/>
        </w:tabs>
        <w:ind w:right="144"/>
        <w:jc w:val="both"/>
        <w:rPr>
          <w:rFonts w:asciiTheme="minorHAnsi" w:hAnsiTheme="minorHAnsi"/>
          <w:szCs w:val="24"/>
        </w:rPr>
      </w:pPr>
      <w:r w:rsidRPr="008F2DF5">
        <w:rPr>
          <w:rFonts w:asciiTheme="minorHAnsi" w:hAnsiTheme="minorHAnsi"/>
          <w:szCs w:val="24"/>
        </w:rPr>
        <w:t>Arrive with no makeup or products on your neck and chin area</w:t>
      </w:r>
    </w:p>
    <w:p w14:paraId="06665498" w14:textId="77777777" w:rsidR="007B0F13" w:rsidRPr="008F2DF5" w:rsidRDefault="007B0F13" w:rsidP="007B0F13">
      <w:pPr>
        <w:pStyle w:val="ListParagraph"/>
        <w:numPr>
          <w:ilvl w:val="0"/>
          <w:numId w:val="7"/>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If you are prone to bruising or bleeding, you may take Arnica pills starting 3 days prior to treatment, or on the day of your treatment. You can purchase them at the Williams </w:t>
      </w:r>
      <w:proofErr w:type="spellStart"/>
      <w:r w:rsidRPr="008F2DF5">
        <w:rPr>
          <w:rFonts w:asciiTheme="minorHAnsi" w:hAnsiTheme="minorHAnsi"/>
          <w:szCs w:val="24"/>
        </w:rPr>
        <w:t>Rejuva</w:t>
      </w:r>
      <w:proofErr w:type="spellEnd"/>
      <w:r w:rsidRPr="008F2DF5">
        <w:rPr>
          <w:rFonts w:asciiTheme="minorHAnsi" w:hAnsiTheme="minorHAnsi"/>
          <w:szCs w:val="24"/>
        </w:rPr>
        <w:t xml:space="preserve"> Center on the day of your treatment, or find them at a supplement store </w:t>
      </w:r>
    </w:p>
    <w:p w14:paraId="1EC7EF69" w14:textId="77777777" w:rsidR="007B0F13" w:rsidRPr="008F2DF5" w:rsidRDefault="007B0F13" w:rsidP="007B0F13">
      <w:pPr>
        <w:pStyle w:val="ListParagraph"/>
        <w:numPr>
          <w:ilvl w:val="0"/>
          <w:numId w:val="7"/>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Men may </w:t>
      </w:r>
      <w:proofErr w:type="spellStart"/>
      <w:r w:rsidRPr="008F2DF5">
        <w:rPr>
          <w:rFonts w:asciiTheme="minorHAnsi" w:hAnsiTheme="minorHAnsi"/>
          <w:szCs w:val="24"/>
        </w:rPr>
        <w:t>shave</w:t>
      </w:r>
      <w:proofErr w:type="spellEnd"/>
      <w:r w:rsidRPr="008F2DF5">
        <w:rPr>
          <w:rFonts w:asciiTheme="minorHAnsi" w:hAnsiTheme="minorHAnsi"/>
          <w:szCs w:val="24"/>
        </w:rPr>
        <w:t xml:space="preserve"> the day of the treatment </w:t>
      </w:r>
    </w:p>
    <w:p w14:paraId="77385EB7" w14:textId="77777777" w:rsidR="007B0F13" w:rsidRPr="008F2DF5" w:rsidRDefault="007B0F13" w:rsidP="007B0F13">
      <w:pPr>
        <w:tabs>
          <w:tab w:val="left" w:pos="720"/>
          <w:tab w:val="num" w:pos="1440"/>
        </w:tabs>
        <w:ind w:right="144"/>
        <w:jc w:val="both"/>
        <w:rPr>
          <w:rFonts w:asciiTheme="minorHAnsi" w:hAnsiTheme="minorHAnsi"/>
          <w:b/>
          <w:szCs w:val="24"/>
        </w:rPr>
      </w:pPr>
    </w:p>
    <w:p w14:paraId="48968EF0" w14:textId="77777777" w:rsidR="007B0F13" w:rsidRPr="008F2DF5" w:rsidRDefault="007B0F13" w:rsidP="008F2DF5">
      <w:pPr>
        <w:tabs>
          <w:tab w:val="left" w:pos="720"/>
          <w:tab w:val="num" w:pos="1440"/>
        </w:tabs>
        <w:ind w:left="360" w:right="144"/>
        <w:jc w:val="both"/>
        <w:rPr>
          <w:rFonts w:asciiTheme="minorHAnsi" w:hAnsiTheme="minorHAnsi"/>
          <w:b/>
          <w:szCs w:val="24"/>
          <w:u w:val="single"/>
        </w:rPr>
      </w:pPr>
      <w:r w:rsidRPr="008F2DF5">
        <w:rPr>
          <w:rFonts w:asciiTheme="minorHAnsi" w:hAnsiTheme="minorHAnsi"/>
          <w:b/>
          <w:szCs w:val="24"/>
          <w:u w:val="single"/>
        </w:rPr>
        <w:t xml:space="preserve">Post- Treatment Information: “What to Expect” </w:t>
      </w:r>
    </w:p>
    <w:p w14:paraId="52F65BC9" w14:textId="77777777" w:rsidR="007B0F13" w:rsidRPr="008F2DF5" w:rsidRDefault="007B0F13" w:rsidP="007B0F13">
      <w:pPr>
        <w:tabs>
          <w:tab w:val="left" w:pos="720"/>
          <w:tab w:val="num" w:pos="1440"/>
        </w:tabs>
        <w:ind w:left="360" w:right="144"/>
        <w:jc w:val="both"/>
        <w:rPr>
          <w:rFonts w:asciiTheme="minorHAnsi" w:hAnsiTheme="minorHAnsi"/>
          <w:szCs w:val="24"/>
        </w:rPr>
      </w:pPr>
      <w:r w:rsidRPr="008F2DF5">
        <w:rPr>
          <w:rFonts w:asciiTheme="minorHAnsi" w:hAnsiTheme="minorHAnsi"/>
          <w:szCs w:val="24"/>
        </w:rPr>
        <w:t>Your treatment involved multiple injections designed to induce an inflammatory reaction in the area of treatment, as such, you can expect the following:</w:t>
      </w:r>
    </w:p>
    <w:p w14:paraId="502C1C9D" w14:textId="77777777" w:rsidR="007B0F13" w:rsidRPr="008F2DF5" w:rsidRDefault="007B0F13"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Pain described as mild in majority of the individuals that will peak few hours after the treatment once the numbing medication wears off. Pain is most commonly describes as “tender” in 4 hours (on average this can last 7 days). However, some patients may experience numbness for 7-14 days</w:t>
      </w:r>
    </w:p>
    <w:p w14:paraId="475290C5" w14:textId="77777777" w:rsidR="008F2DF5" w:rsidRPr="008F2DF5" w:rsidRDefault="008F2DF5"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Swelling/Induration (a hard or heave feeling) is expected, and on average can last 10-14 days, in some cases longer. </w:t>
      </w:r>
    </w:p>
    <w:p w14:paraId="4588B852" w14:textId="77777777" w:rsidR="008F2DF5" w:rsidRPr="008F2DF5" w:rsidRDefault="008F2DF5"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Bruising or Hematoma at the injection sites can be common and would be expected to resolved as any other bruise you may have had in the past </w:t>
      </w:r>
    </w:p>
    <w:p w14:paraId="29140B11" w14:textId="77777777" w:rsidR="008F2DF5" w:rsidRPr="008F2DF5" w:rsidRDefault="008F2DF5"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On very rare occasions some experience some difficulty swallowing, which is attributable to the sensation of fullness in the treated are from the volume of liquid injection and/or swelling/edema. On average this resolves in 3-5 days for most patients</w:t>
      </w:r>
    </w:p>
    <w:p w14:paraId="00F94686" w14:textId="77777777" w:rsidR="008F2DF5" w:rsidRPr="008F2DF5" w:rsidRDefault="008F2DF5"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May restart any supplements stopped prior to treatment after 3 days</w:t>
      </w:r>
    </w:p>
    <w:p w14:paraId="761330C2" w14:textId="77777777" w:rsidR="008F2DF5" w:rsidRPr="008F2DF5" w:rsidRDefault="008F2DF5" w:rsidP="007B0F13">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It is ok to use cool compresses to the area for 5 to 15 mins post treatment as needed </w:t>
      </w:r>
    </w:p>
    <w:p w14:paraId="59427784" w14:textId="77777777" w:rsidR="00393AC5" w:rsidRPr="008F2DF5" w:rsidRDefault="00403C90" w:rsidP="008F2DF5">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Ok to take an oral analgesic (</w:t>
      </w:r>
      <w:r w:rsidR="00393AC5" w:rsidRPr="008F2DF5">
        <w:rPr>
          <w:rFonts w:asciiTheme="minorHAnsi" w:hAnsiTheme="minorHAnsi"/>
          <w:szCs w:val="24"/>
        </w:rPr>
        <w:t>Tylenol</w:t>
      </w:r>
      <w:r w:rsidRPr="008F2DF5">
        <w:rPr>
          <w:rFonts w:asciiTheme="minorHAnsi" w:hAnsiTheme="minorHAnsi"/>
          <w:szCs w:val="24"/>
        </w:rPr>
        <w:t xml:space="preserve">) to manage side effects as needed. </w:t>
      </w:r>
      <w:r w:rsidR="00393AC5" w:rsidRPr="008F2DF5">
        <w:rPr>
          <w:rFonts w:asciiTheme="minorHAnsi" w:hAnsiTheme="minorHAnsi"/>
          <w:b/>
          <w:szCs w:val="24"/>
        </w:rPr>
        <w:t>Please do NOT take any ani-inflammatory drugs (Advil/ Ibuprofen, Motrin, Aleve/Naproxen, Bayer/</w:t>
      </w:r>
      <w:proofErr w:type="spellStart"/>
      <w:r w:rsidR="00393AC5" w:rsidRPr="008F2DF5">
        <w:rPr>
          <w:rFonts w:asciiTheme="minorHAnsi" w:hAnsiTheme="minorHAnsi"/>
          <w:b/>
          <w:szCs w:val="24"/>
        </w:rPr>
        <w:t>Asprin</w:t>
      </w:r>
      <w:proofErr w:type="spellEnd"/>
      <w:r w:rsidR="00393AC5" w:rsidRPr="008F2DF5">
        <w:rPr>
          <w:rFonts w:asciiTheme="minorHAnsi" w:hAnsiTheme="minorHAnsi"/>
          <w:b/>
          <w:szCs w:val="24"/>
        </w:rPr>
        <w:t xml:space="preserve">).  </w:t>
      </w:r>
    </w:p>
    <w:p w14:paraId="65EFDDB0" w14:textId="77777777" w:rsidR="00C0005B" w:rsidRPr="008F2DF5" w:rsidRDefault="00E21CB7" w:rsidP="008F2DF5">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Any unexplained development </w:t>
      </w:r>
      <w:r w:rsidR="00EE2C79" w:rsidRPr="008F2DF5">
        <w:rPr>
          <w:rFonts w:asciiTheme="minorHAnsi" w:hAnsiTheme="minorHAnsi"/>
          <w:szCs w:val="24"/>
        </w:rPr>
        <w:t>of pain</w:t>
      </w:r>
      <w:r w:rsidRPr="008F2DF5">
        <w:rPr>
          <w:rFonts w:asciiTheme="minorHAnsi" w:hAnsiTheme="minorHAnsi"/>
          <w:szCs w:val="24"/>
        </w:rPr>
        <w:t>, swelling or</w:t>
      </w:r>
      <w:r w:rsidR="00D62DF9" w:rsidRPr="008F2DF5">
        <w:rPr>
          <w:rFonts w:asciiTheme="minorHAnsi" w:hAnsiTheme="minorHAnsi"/>
          <w:szCs w:val="24"/>
        </w:rPr>
        <w:t xml:space="preserve"> fever should be reported to us</w:t>
      </w:r>
      <w:r w:rsidR="003268F9" w:rsidRPr="008F2DF5">
        <w:rPr>
          <w:rFonts w:asciiTheme="minorHAnsi" w:hAnsiTheme="minorHAnsi"/>
          <w:szCs w:val="24"/>
        </w:rPr>
        <w:t xml:space="preserve"> </w:t>
      </w:r>
      <w:r w:rsidRPr="008F2DF5">
        <w:rPr>
          <w:rFonts w:asciiTheme="minorHAnsi" w:hAnsiTheme="minorHAnsi"/>
          <w:szCs w:val="24"/>
        </w:rPr>
        <w:t>immediately.</w:t>
      </w:r>
    </w:p>
    <w:p w14:paraId="3E18A7DE" w14:textId="77777777" w:rsidR="00E21CB7" w:rsidRDefault="00E21CB7" w:rsidP="00505CB7">
      <w:pPr>
        <w:pStyle w:val="ListParagraph"/>
        <w:numPr>
          <w:ilvl w:val="0"/>
          <w:numId w:val="8"/>
        </w:numPr>
        <w:tabs>
          <w:tab w:val="left" w:pos="720"/>
          <w:tab w:val="num" w:pos="1440"/>
        </w:tabs>
        <w:ind w:right="144"/>
        <w:jc w:val="both"/>
        <w:rPr>
          <w:rFonts w:asciiTheme="minorHAnsi" w:hAnsiTheme="minorHAnsi"/>
          <w:szCs w:val="24"/>
        </w:rPr>
      </w:pPr>
      <w:r w:rsidRPr="008F2DF5">
        <w:rPr>
          <w:rFonts w:asciiTheme="minorHAnsi" w:hAnsiTheme="minorHAnsi"/>
          <w:szCs w:val="24"/>
        </w:rPr>
        <w:t xml:space="preserve">Finally, it is </w:t>
      </w:r>
      <w:r w:rsidRPr="008F2DF5">
        <w:rPr>
          <w:rFonts w:asciiTheme="minorHAnsi" w:hAnsiTheme="minorHAnsi"/>
          <w:szCs w:val="24"/>
          <w:u w:val="single"/>
        </w:rPr>
        <w:t>very important</w:t>
      </w:r>
      <w:r w:rsidRPr="008F2DF5">
        <w:rPr>
          <w:rFonts w:asciiTheme="minorHAnsi" w:hAnsiTheme="minorHAnsi"/>
          <w:szCs w:val="24"/>
        </w:rPr>
        <w:t xml:space="preserve"> to your well-being that you follow </w:t>
      </w:r>
      <w:r w:rsidR="00BE2313" w:rsidRPr="008F2DF5">
        <w:rPr>
          <w:rFonts w:asciiTheme="minorHAnsi" w:hAnsiTheme="minorHAnsi"/>
          <w:szCs w:val="24"/>
        </w:rPr>
        <w:t xml:space="preserve">the </w:t>
      </w:r>
      <w:r w:rsidRPr="008F2DF5">
        <w:rPr>
          <w:rFonts w:asciiTheme="minorHAnsi" w:hAnsiTheme="minorHAnsi"/>
          <w:szCs w:val="24"/>
        </w:rPr>
        <w:t>instructions given to you by this office, and that we check your progress</w:t>
      </w:r>
      <w:r w:rsidR="00BE2313" w:rsidRPr="008F2DF5">
        <w:rPr>
          <w:rFonts w:asciiTheme="minorHAnsi" w:hAnsiTheme="minorHAnsi"/>
          <w:szCs w:val="24"/>
        </w:rPr>
        <w:t xml:space="preserve"> </w:t>
      </w:r>
      <w:r w:rsidRPr="008F2DF5">
        <w:rPr>
          <w:rFonts w:asciiTheme="minorHAnsi" w:hAnsiTheme="minorHAnsi"/>
          <w:szCs w:val="24"/>
        </w:rPr>
        <w:t xml:space="preserve">regularly following </w:t>
      </w:r>
      <w:r w:rsidR="008F2DF5" w:rsidRPr="008F2DF5">
        <w:rPr>
          <w:rFonts w:asciiTheme="minorHAnsi" w:hAnsiTheme="minorHAnsi"/>
          <w:szCs w:val="24"/>
        </w:rPr>
        <w:t>injection.</w:t>
      </w:r>
    </w:p>
    <w:p w14:paraId="52ECBDF3" w14:textId="77777777" w:rsidR="008F2DF5" w:rsidRPr="008F2DF5" w:rsidRDefault="008F2DF5" w:rsidP="008F2DF5">
      <w:pPr>
        <w:pStyle w:val="ListParagraph"/>
        <w:tabs>
          <w:tab w:val="left" w:pos="720"/>
        </w:tabs>
        <w:ind w:left="1080" w:right="144"/>
        <w:jc w:val="both"/>
        <w:rPr>
          <w:rFonts w:asciiTheme="minorHAnsi" w:hAnsiTheme="minorHAnsi"/>
          <w:szCs w:val="24"/>
        </w:rPr>
      </w:pPr>
    </w:p>
    <w:p w14:paraId="5F3FE5FF" w14:textId="77777777" w:rsidR="008F2DF5" w:rsidRDefault="00E21CB7" w:rsidP="008F2DF5">
      <w:pPr>
        <w:ind w:right="-1440"/>
        <w:rPr>
          <w:rFonts w:asciiTheme="minorHAnsi" w:hAnsiTheme="minorHAnsi"/>
          <w:szCs w:val="24"/>
        </w:rPr>
      </w:pPr>
      <w:r w:rsidRPr="008F2DF5">
        <w:rPr>
          <w:rFonts w:asciiTheme="minorHAnsi" w:hAnsiTheme="minorHAnsi"/>
          <w:szCs w:val="24"/>
        </w:rPr>
        <w:t>DON’T TAKE ANY CHANCES</w:t>
      </w:r>
      <w:r w:rsidRPr="008F2DF5">
        <w:rPr>
          <w:rFonts w:asciiTheme="minorHAnsi" w:hAnsiTheme="minorHAnsi"/>
          <w:szCs w:val="24"/>
          <w:u w:val="single"/>
        </w:rPr>
        <w:t>!</w:t>
      </w:r>
      <w:r w:rsidRPr="008F2DF5">
        <w:rPr>
          <w:rFonts w:asciiTheme="minorHAnsi" w:hAnsiTheme="minorHAnsi"/>
          <w:szCs w:val="24"/>
        </w:rPr>
        <w:t xml:space="preserve"> – If you are concerned about anything you</w:t>
      </w:r>
      <w:r w:rsidR="00BE2313" w:rsidRPr="008F2DF5">
        <w:rPr>
          <w:rFonts w:asciiTheme="minorHAnsi" w:hAnsiTheme="minorHAnsi"/>
          <w:szCs w:val="24"/>
        </w:rPr>
        <w:t xml:space="preserve"> </w:t>
      </w:r>
      <w:r w:rsidRPr="008F2DF5">
        <w:rPr>
          <w:rFonts w:asciiTheme="minorHAnsi" w:hAnsiTheme="minorHAnsi"/>
          <w:szCs w:val="24"/>
        </w:rPr>
        <w:t xml:space="preserve">consider significant, </w:t>
      </w:r>
      <w:r w:rsidR="00CB4C5F" w:rsidRPr="008F2DF5">
        <w:rPr>
          <w:rFonts w:asciiTheme="minorHAnsi" w:hAnsiTheme="minorHAnsi"/>
          <w:szCs w:val="24"/>
        </w:rPr>
        <w:t>p</w:t>
      </w:r>
      <w:r w:rsidRPr="008F2DF5">
        <w:rPr>
          <w:rFonts w:asciiTheme="minorHAnsi" w:hAnsiTheme="minorHAnsi"/>
          <w:szCs w:val="24"/>
        </w:rPr>
        <w:t xml:space="preserve">lease call </w:t>
      </w:r>
    </w:p>
    <w:p w14:paraId="316755DC" w14:textId="77777777" w:rsidR="00E21CB7" w:rsidRDefault="00E21CB7" w:rsidP="008F2DF5">
      <w:pPr>
        <w:ind w:right="-1440"/>
        <w:rPr>
          <w:rFonts w:asciiTheme="minorHAnsi" w:hAnsiTheme="minorHAnsi"/>
          <w:szCs w:val="24"/>
        </w:rPr>
      </w:pPr>
      <w:r w:rsidRPr="008F2DF5">
        <w:rPr>
          <w:rFonts w:asciiTheme="minorHAnsi" w:hAnsiTheme="minorHAnsi"/>
          <w:b/>
          <w:szCs w:val="24"/>
        </w:rPr>
        <w:t>(518) 786-700</w:t>
      </w:r>
      <w:r w:rsidR="00393AC5" w:rsidRPr="008F2DF5">
        <w:rPr>
          <w:rFonts w:asciiTheme="minorHAnsi" w:hAnsiTheme="minorHAnsi"/>
          <w:b/>
          <w:szCs w:val="24"/>
        </w:rPr>
        <w:t>4</w:t>
      </w:r>
      <w:r w:rsidRPr="008F2DF5">
        <w:rPr>
          <w:rFonts w:asciiTheme="minorHAnsi" w:hAnsiTheme="minorHAnsi"/>
          <w:szCs w:val="24"/>
        </w:rPr>
        <w:t>.</w:t>
      </w:r>
    </w:p>
    <w:p w14:paraId="645593D0" w14:textId="77777777" w:rsidR="008F2DF5" w:rsidRPr="008F2DF5" w:rsidRDefault="008F2DF5" w:rsidP="008F2DF5">
      <w:pPr>
        <w:ind w:right="-1440"/>
        <w:rPr>
          <w:rFonts w:asciiTheme="minorHAnsi" w:hAnsiTheme="minorHAnsi"/>
          <w:szCs w:val="24"/>
        </w:rPr>
      </w:pPr>
    </w:p>
    <w:p w14:paraId="421489EC" w14:textId="77777777" w:rsidR="008F2DF5" w:rsidRPr="008F2DF5" w:rsidRDefault="00E21CB7" w:rsidP="008F2DF5">
      <w:pPr>
        <w:pStyle w:val="BodyText"/>
        <w:rPr>
          <w:rFonts w:asciiTheme="minorHAnsi" w:hAnsiTheme="minorHAnsi"/>
          <w:color w:val="000000"/>
          <w:szCs w:val="24"/>
        </w:rPr>
      </w:pPr>
      <w:r w:rsidRPr="008F2DF5">
        <w:rPr>
          <w:rFonts w:asciiTheme="minorHAnsi" w:hAnsiTheme="minorHAnsi"/>
          <w:szCs w:val="24"/>
        </w:rPr>
        <w:t>We greatly appreciate the confidence you have shown in us by allowing us to assist you in improving your appearance and health, and you may be assured of our best efforts to achieve the most satisfactory surgical result possible for your particular individual anatomy and condition.</w:t>
      </w:r>
      <w:r w:rsidRPr="008F2DF5">
        <w:rPr>
          <w:rFonts w:asciiTheme="minorHAnsi" w:hAnsiTheme="minorHAnsi"/>
          <w:i/>
          <w:iCs/>
          <w:szCs w:val="24"/>
        </w:rPr>
        <w:t xml:space="preserve">       </w:t>
      </w:r>
      <w:r w:rsidR="00CD5192" w:rsidRPr="008F2DF5">
        <w:rPr>
          <w:rFonts w:asciiTheme="minorHAnsi" w:hAnsiTheme="minorHAnsi"/>
          <w:color w:val="000000"/>
          <w:szCs w:val="24"/>
        </w:rPr>
        <w:t xml:space="preserve">                       </w:t>
      </w:r>
      <w:r w:rsidR="008F2DF5" w:rsidRPr="008F2DF5">
        <w:rPr>
          <w:rFonts w:asciiTheme="minorHAnsi" w:hAnsiTheme="minorHAnsi"/>
          <w:color w:val="000000"/>
          <w:szCs w:val="24"/>
        </w:rPr>
        <w:t xml:space="preserve">    </w:t>
      </w:r>
      <w:r w:rsidR="00CD5192" w:rsidRPr="008F2DF5">
        <w:rPr>
          <w:rFonts w:asciiTheme="minorHAnsi" w:hAnsiTheme="minorHAnsi"/>
          <w:color w:val="000000"/>
          <w:szCs w:val="24"/>
        </w:rPr>
        <w:t xml:space="preserve"> </w:t>
      </w:r>
      <w:r w:rsidR="008F2DF5" w:rsidRPr="008F2DF5">
        <w:rPr>
          <w:rFonts w:asciiTheme="minorHAnsi" w:hAnsiTheme="minorHAnsi"/>
          <w:color w:val="000000"/>
          <w:szCs w:val="24"/>
        </w:rPr>
        <w:t xml:space="preserve">                                                          </w:t>
      </w:r>
    </w:p>
    <w:p w14:paraId="681DADAA" w14:textId="7DBCF2ED" w:rsidR="00812EF2" w:rsidRPr="008F2DF5" w:rsidRDefault="00E21CB7" w:rsidP="006469F7">
      <w:pPr>
        <w:pStyle w:val="BodyText"/>
        <w:ind w:left="7200"/>
        <w:rPr>
          <w:rFonts w:asciiTheme="minorHAnsi" w:hAnsiTheme="minorHAnsi"/>
          <w:szCs w:val="24"/>
        </w:rPr>
      </w:pPr>
      <w:r w:rsidRPr="008F2DF5">
        <w:rPr>
          <w:rFonts w:asciiTheme="minorHAnsi" w:hAnsiTheme="minorHAnsi"/>
          <w:color w:val="000000"/>
          <w:szCs w:val="24"/>
        </w:rPr>
        <w:t>Edwin F. Williams III M.D. F.A.C.S.</w:t>
      </w:r>
      <w:bookmarkStart w:id="0" w:name="_GoBack"/>
      <w:bookmarkEnd w:id="0"/>
    </w:p>
    <w:sectPr w:rsidR="00812EF2" w:rsidRPr="008F2DF5" w:rsidSect="00CA6A6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06B"/>
    <w:multiLevelType w:val="hybridMultilevel"/>
    <w:tmpl w:val="24C283CC"/>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38097D9C"/>
    <w:multiLevelType w:val="hybridMultilevel"/>
    <w:tmpl w:val="1BF01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0E0D61"/>
    <w:multiLevelType w:val="hybridMultilevel"/>
    <w:tmpl w:val="E0720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034B10"/>
    <w:multiLevelType w:val="singleLevel"/>
    <w:tmpl w:val="3B88480C"/>
    <w:lvl w:ilvl="0">
      <w:start w:val="1"/>
      <w:numFmt w:val="decimal"/>
      <w:lvlText w:val="%1."/>
      <w:lvlJc w:val="left"/>
      <w:pPr>
        <w:tabs>
          <w:tab w:val="num" w:pos="360"/>
        </w:tabs>
        <w:ind w:left="360" w:hanging="360"/>
      </w:pPr>
      <w:rPr>
        <w:rFonts w:cs="Times New Roman"/>
        <w:b w:val="0"/>
        <w:sz w:val="20"/>
        <w:szCs w:val="20"/>
      </w:rPr>
    </w:lvl>
  </w:abstractNum>
  <w:abstractNum w:abstractNumId="4" w15:restartNumberingAfterBreak="0">
    <w:nsid w:val="52C7722D"/>
    <w:multiLevelType w:val="hybridMultilevel"/>
    <w:tmpl w:val="0B72570C"/>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6D581F9B"/>
    <w:multiLevelType w:val="hybridMultilevel"/>
    <w:tmpl w:val="EC94ACC0"/>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720F6C93"/>
    <w:multiLevelType w:val="hybridMultilevel"/>
    <w:tmpl w:val="28AA8078"/>
    <w:lvl w:ilvl="0" w:tplc="623885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A7D5A26"/>
    <w:multiLevelType w:val="multilevel"/>
    <w:tmpl w:val="EC94ACC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5"/>
  </w:num>
  <w:num w:numId="2">
    <w:abstractNumId w:val="3"/>
  </w:num>
  <w:num w:numId="3">
    <w:abstractNumId w:val="0"/>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B7"/>
    <w:rsid w:val="00046096"/>
    <w:rsid w:val="00062236"/>
    <w:rsid w:val="00080A7C"/>
    <w:rsid w:val="000C4518"/>
    <w:rsid w:val="000E3576"/>
    <w:rsid w:val="000F279B"/>
    <w:rsid w:val="00113476"/>
    <w:rsid w:val="00140E19"/>
    <w:rsid w:val="00153FD6"/>
    <w:rsid w:val="001758CF"/>
    <w:rsid w:val="001837D7"/>
    <w:rsid w:val="001F33ED"/>
    <w:rsid w:val="00272436"/>
    <w:rsid w:val="002867A1"/>
    <w:rsid w:val="002B3BD3"/>
    <w:rsid w:val="002C45A1"/>
    <w:rsid w:val="002E14A2"/>
    <w:rsid w:val="002E2485"/>
    <w:rsid w:val="002E785E"/>
    <w:rsid w:val="00314435"/>
    <w:rsid w:val="003268F9"/>
    <w:rsid w:val="003563A9"/>
    <w:rsid w:val="00357964"/>
    <w:rsid w:val="00370ECF"/>
    <w:rsid w:val="00371234"/>
    <w:rsid w:val="00382782"/>
    <w:rsid w:val="00393AC5"/>
    <w:rsid w:val="00395E15"/>
    <w:rsid w:val="00396B0E"/>
    <w:rsid w:val="003A0379"/>
    <w:rsid w:val="003C6084"/>
    <w:rsid w:val="00403C90"/>
    <w:rsid w:val="00410690"/>
    <w:rsid w:val="004112D2"/>
    <w:rsid w:val="00425C54"/>
    <w:rsid w:val="00440CA9"/>
    <w:rsid w:val="00460456"/>
    <w:rsid w:val="00494B23"/>
    <w:rsid w:val="004E31BE"/>
    <w:rsid w:val="00505CB7"/>
    <w:rsid w:val="00543F58"/>
    <w:rsid w:val="005566D8"/>
    <w:rsid w:val="00573AE2"/>
    <w:rsid w:val="00574C20"/>
    <w:rsid w:val="00582BA7"/>
    <w:rsid w:val="005C69BD"/>
    <w:rsid w:val="00606382"/>
    <w:rsid w:val="00612889"/>
    <w:rsid w:val="006469F7"/>
    <w:rsid w:val="0065238D"/>
    <w:rsid w:val="00676E03"/>
    <w:rsid w:val="006B039A"/>
    <w:rsid w:val="006D31F3"/>
    <w:rsid w:val="006F1FD5"/>
    <w:rsid w:val="00701BA1"/>
    <w:rsid w:val="007132D8"/>
    <w:rsid w:val="007574BF"/>
    <w:rsid w:val="00795C79"/>
    <w:rsid w:val="007A4A9C"/>
    <w:rsid w:val="007B0CEC"/>
    <w:rsid w:val="007B0F13"/>
    <w:rsid w:val="007B3891"/>
    <w:rsid w:val="007B6E68"/>
    <w:rsid w:val="007C180A"/>
    <w:rsid w:val="007D74D5"/>
    <w:rsid w:val="007F442A"/>
    <w:rsid w:val="00801F3E"/>
    <w:rsid w:val="00812EF2"/>
    <w:rsid w:val="00821D9E"/>
    <w:rsid w:val="00854122"/>
    <w:rsid w:val="00856F4C"/>
    <w:rsid w:val="00860AFF"/>
    <w:rsid w:val="008713B9"/>
    <w:rsid w:val="008A5195"/>
    <w:rsid w:val="008C290E"/>
    <w:rsid w:val="008F27EA"/>
    <w:rsid w:val="008F2DF5"/>
    <w:rsid w:val="008F6DEC"/>
    <w:rsid w:val="00924929"/>
    <w:rsid w:val="00930888"/>
    <w:rsid w:val="009336C3"/>
    <w:rsid w:val="00944E2F"/>
    <w:rsid w:val="00953F4E"/>
    <w:rsid w:val="00964B73"/>
    <w:rsid w:val="00985DCA"/>
    <w:rsid w:val="00987ED3"/>
    <w:rsid w:val="009F1DC8"/>
    <w:rsid w:val="00A7103C"/>
    <w:rsid w:val="00A76C27"/>
    <w:rsid w:val="00A930C7"/>
    <w:rsid w:val="00B17C84"/>
    <w:rsid w:val="00B24E5B"/>
    <w:rsid w:val="00B511AA"/>
    <w:rsid w:val="00BE0D70"/>
    <w:rsid w:val="00BE2313"/>
    <w:rsid w:val="00BE6263"/>
    <w:rsid w:val="00C0005B"/>
    <w:rsid w:val="00C15B23"/>
    <w:rsid w:val="00C3098C"/>
    <w:rsid w:val="00C40544"/>
    <w:rsid w:val="00C54F96"/>
    <w:rsid w:val="00C84C11"/>
    <w:rsid w:val="00C86042"/>
    <w:rsid w:val="00C97D2E"/>
    <w:rsid w:val="00CA0FDE"/>
    <w:rsid w:val="00CA6A6E"/>
    <w:rsid w:val="00CA7F27"/>
    <w:rsid w:val="00CB4C5F"/>
    <w:rsid w:val="00CD5192"/>
    <w:rsid w:val="00D305A0"/>
    <w:rsid w:val="00D53F96"/>
    <w:rsid w:val="00D62DF9"/>
    <w:rsid w:val="00D62E99"/>
    <w:rsid w:val="00DA53E0"/>
    <w:rsid w:val="00DB6577"/>
    <w:rsid w:val="00DD2F7A"/>
    <w:rsid w:val="00DE6852"/>
    <w:rsid w:val="00E0320A"/>
    <w:rsid w:val="00E21CB7"/>
    <w:rsid w:val="00E53088"/>
    <w:rsid w:val="00E70FC6"/>
    <w:rsid w:val="00E815FC"/>
    <w:rsid w:val="00E9363B"/>
    <w:rsid w:val="00EB7321"/>
    <w:rsid w:val="00EC481A"/>
    <w:rsid w:val="00ED1D37"/>
    <w:rsid w:val="00EE2C79"/>
    <w:rsid w:val="00EF3490"/>
    <w:rsid w:val="00F62A1B"/>
    <w:rsid w:val="00F65188"/>
    <w:rsid w:val="00FE6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A1E48"/>
  <w14:defaultImageDpi w14:val="0"/>
  <w15:docId w15:val="{468BEF78-634E-4161-8404-D40172A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CB7"/>
    <w:rPr>
      <w:rFonts w:ascii="Arial" w:hAnsi="Arial"/>
      <w:sz w:val="24"/>
    </w:rPr>
  </w:style>
  <w:style w:type="paragraph" w:styleId="Heading6">
    <w:name w:val="heading 6"/>
    <w:basedOn w:val="Normal"/>
    <w:next w:val="Normal"/>
    <w:link w:val="Heading6Char"/>
    <w:uiPriority w:val="9"/>
    <w:qFormat/>
    <w:rsid w:val="00E21CB7"/>
    <w:pPr>
      <w:keepNext/>
      <w:jc w:val="center"/>
      <w:outlineLvl w:val="5"/>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rsid w:val="00E21CB7"/>
    <w:rPr>
      <w:rFonts w:ascii="Times New Roman" w:hAnsi="Times New Roman"/>
    </w:r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ListParagraph">
    <w:name w:val="List Paragraph"/>
    <w:basedOn w:val="Normal"/>
    <w:uiPriority w:val="34"/>
    <w:qFormat/>
    <w:rsid w:val="00403C90"/>
    <w:pPr>
      <w:ind w:left="720"/>
      <w:contextualSpacing/>
    </w:pPr>
  </w:style>
  <w:style w:type="character" w:styleId="Hyperlink">
    <w:name w:val="Hyperlink"/>
    <w:basedOn w:val="DefaultParagraphFont"/>
    <w:uiPriority w:val="99"/>
    <w:semiHidden/>
    <w:unhideWhenUsed/>
    <w:rsid w:val="00393AC5"/>
    <w:rPr>
      <w:color w:val="0000FF"/>
      <w:u w:val="single"/>
    </w:rPr>
  </w:style>
  <w:style w:type="character" w:customStyle="1" w:styleId="apple-converted-space">
    <w:name w:val="apple-converted-space"/>
    <w:basedOn w:val="DefaultParagraphFont"/>
    <w:rsid w:val="0039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91E4-27F1-4DF1-997A-0283D631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453</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9</dc:creator>
  <cp:lastModifiedBy>Tatyana Yakimchuk</cp:lastModifiedBy>
  <cp:revision>4</cp:revision>
  <cp:lastPrinted>2015-07-06T13:52:00Z</cp:lastPrinted>
  <dcterms:created xsi:type="dcterms:W3CDTF">2017-06-07T15:10:00Z</dcterms:created>
  <dcterms:modified xsi:type="dcterms:W3CDTF">2019-04-19T13:04:00Z</dcterms:modified>
</cp:coreProperties>
</file>